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82" w:rsidRPr="00506782" w:rsidRDefault="00506782" w:rsidP="005067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06782">
        <w:rPr>
          <w:rFonts w:ascii="Calibri" w:eastAsia="Times New Roman" w:hAnsi="Calibri" w:cs="Times New Roman"/>
          <w:color w:val="000000"/>
          <w:sz w:val="24"/>
          <w:szCs w:val="24"/>
        </w:rPr>
        <w:t>Feb.  12, 2015 –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Upon an invitation of the </w:t>
      </w:r>
      <w:r w:rsidRPr="00506782">
        <w:rPr>
          <w:rFonts w:ascii="Calibri" w:eastAsia="Times New Roman" w:hAnsi="Calibri" w:cs="Times New Roman"/>
          <w:color w:val="000000"/>
          <w:sz w:val="24"/>
          <w:szCs w:val="24"/>
        </w:rPr>
        <w:t>Child Rights Committee of the Parliament of Serbia</w:t>
      </w:r>
      <w:r w:rsidR="00320355">
        <w:rPr>
          <w:rFonts w:ascii="Calibri" w:eastAsia="Times New Roman" w:hAnsi="Calibri" w:cs="Times New Roman"/>
          <w:color w:val="000000"/>
          <w:sz w:val="24"/>
          <w:szCs w:val="24"/>
        </w:rPr>
        <w:t>, the Incest Trauma Center - Belgrade has become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 member of the Task-force in charge for monitoring implementation of the Family Law of Serbia in chapters concerning protection of the child from domestic violence. 1</w:t>
      </w:r>
      <w:r w:rsidRPr="00506782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meeting of the Task-force held.</w:t>
      </w:r>
    </w:p>
    <w:p w:rsidR="00DD49CD" w:rsidRPr="001737C6" w:rsidRDefault="00506782" w:rsidP="00506782">
      <w:pPr>
        <w:spacing w:after="0" w:line="240" w:lineRule="auto"/>
        <w:rPr>
          <w:lang w:val="sr-Latn-RS"/>
        </w:rPr>
      </w:pPr>
      <w:r w:rsidRPr="00506782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sectPr w:rsidR="00DD49CD" w:rsidRPr="0017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6"/>
    <w:rsid w:val="001737C6"/>
    <w:rsid w:val="00320355"/>
    <w:rsid w:val="0050678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AB15-C8B7-4B57-A7AE-D9BB3FB9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2</cp:revision>
  <dcterms:created xsi:type="dcterms:W3CDTF">2015-04-05T16:52:00Z</dcterms:created>
  <dcterms:modified xsi:type="dcterms:W3CDTF">2015-04-05T16:52:00Z</dcterms:modified>
</cp:coreProperties>
</file>